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B" w:rsidRDefault="00B73A9E" w:rsidP="00B73A9E">
      <w:pPr>
        <w:pStyle w:val="Default"/>
        <w:rPr>
          <w:b/>
          <w:bCs/>
          <w:color w:val="FF0000"/>
          <w:sz w:val="23"/>
          <w:szCs w:val="23"/>
          <w:u w:val="single"/>
        </w:rPr>
      </w:pPr>
      <w:r w:rsidRPr="00B73A9E">
        <w:rPr>
          <w:b/>
          <w:bCs/>
          <w:sz w:val="23"/>
          <w:szCs w:val="23"/>
          <w:u w:val="single"/>
        </w:rPr>
        <w:t xml:space="preserve">14. </w:t>
      </w:r>
      <w:r w:rsidRPr="004039EB">
        <w:rPr>
          <w:b/>
          <w:bCs/>
          <w:color w:val="auto"/>
          <w:sz w:val="23"/>
          <w:szCs w:val="23"/>
          <w:u w:val="single"/>
        </w:rPr>
        <w:t>Článek 20</w:t>
      </w:r>
      <w:r w:rsidRPr="004039EB">
        <w:rPr>
          <w:b/>
          <w:bCs/>
          <w:color w:val="auto"/>
          <w:sz w:val="16"/>
          <w:szCs w:val="16"/>
          <w:u w:val="single"/>
        </w:rPr>
        <w:t xml:space="preserve"> </w:t>
      </w:r>
      <w:r w:rsidRPr="004039EB">
        <w:rPr>
          <w:b/>
          <w:bCs/>
          <w:color w:val="auto"/>
          <w:sz w:val="23"/>
          <w:szCs w:val="23"/>
          <w:u w:val="single"/>
        </w:rPr>
        <w:t xml:space="preserve">Základní služby a obnova vesnic ve venkovských oblastech </w:t>
      </w:r>
    </w:p>
    <w:p w:rsidR="004039EB" w:rsidRDefault="004039EB" w:rsidP="004039E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rámci článku 20 může žadatel podat jednu žádost na různé oblasti podpory za podmínky splnění definice žadatele a všech odpovídajících podmínek dle oblastí podpory, a to pouze ve stejném režimu podpory. </w:t>
      </w:r>
    </w:p>
    <w:p w:rsidR="0088795E" w:rsidRDefault="0088795E" w:rsidP="00B73A9E">
      <w:pPr>
        <w:pStyle w:val="Default"/>
        <w:rPr>
          <w:b/>
          <w:bCs/>
          <w:color w:val="FF0000"/>
          <w:sz w:val="23"/>
          <w:szCs w:val="23"/>
          <w:u w:val="single"/>
        </w:rPr>
      </w:pPr>
    </w:p>
    <w:p w:rsidR="00B73A9E" w:rsidRPr="0088795E" w:rsidRDefault="00B73A9E" w:rsidP="00B73A9E">
      <w:pPr>
        <w:pStyle w:val="Default"/>
        <w:rPr>
          <w:sz w:val="32"/>
          <w:szCs w:val="32"/>
          <w:u w:val="single"/>
        </w:rPr>
      </w:pPr>
      <w:r w:rsidRPr="0088795E">
        <w:rPr>
          <w:b/>
          <w:bCs/>
          <w:color w:val="FF0000"/>
          <w:sz w:val="32"/>
          <w:szCs w:val="32"/>
          <w:u w:val="single"/>
        </w:rPr>
        <w:t xml:space="preserve">a) Veřejná prostranství v obcích </w:t>
      </w:r>
    </w:p>
    <w:p w:rsidR="00B73A9E" w:rsidRDefault="00B73A9E" w:rsidP="00B73A9E">
      <w:pPr>
        <w:pStyle w:val="Default"/>
        <w:rPr>
          <w:b/>
          <w:bCs/>
          <w:sz w:val="22"/>
          <w:szCs w:val="22"/>
        </w:rPr>
      </w:pPr>
    </w:p>
    <w:p w:rsidR="00B73A9E" w:rsidRDefault="00B73A9E" w:rsidP="00B73A9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B73A9E">
        <w:rPr>
          <w:b/>
          <w:bCs/>
          <w:sz w:val="22"/>
          <w:szCs w:val="22"/>
        </w:rPr>
        <w:t xml:space="preserve"> Oblasti podpory </w:t>
      </w:r>
    </w:p>
    <w:p w:rsidR="00B73A9E" w:rsidRDefault="00B73A9E" w:rsidP="00B73A9E">
      <w:pPr>
        <w:pStyle w:val="Default"/>
        <w:rPr>
          <w:color w:val="auto"/>
          <w:sz w:val="22"/>
          <w:szCs w:val="22"/>
        </w:rPr>
      </w:pPr>
      <w:r w:rsidRPr="00EC429B">
        <w:rPr>
          <w:color w:val="auto"/>
          <w:sz w:val="22"/>
          <w:szCs w:val="22"/>
          <w:u w:val="single"/>
        </w:rPr>
        <w:t>Podpořena budou tato veřejná prostranství:</w:t>
      </w:r>
      <w:r w:rsidRPr="00EC429B">
        <w:rPr>
          <w:color w:val="auto"/>
          <w:sz w:val="22"/>
          <w:szCs w:val="22"/>
        </w:rPr>
        <w:t xml:space="preserve"> náměstí, návsi, tržiště, navazující prostranství obecního úřadu, pošty, kostela, hřbitova, železniční stanice a dalších objektů občanské vybavenosti, které jsou ve vlastnictví obce. </w:t>
      </w:r>
    </w:p>
    <w:p w:rsidR="00EC429B" w:rsidRDefault="00EC429B" w:rsidP="00EC429B">
      <w:pPr>
        <w:pStyle w:val="Default"/>
        <w:rPr>
          <w:color w:val="FF0000"/>
          <w:sz w:val="22"/>
          <w:szCs w:val="22"/>
        </w:rPr>
      </w:pPr>
      <w:r w:rsidRPr="004039EB">
        <w:rPr>
          <w:color w:val="auto"/>
          <w:sz w:val="22"/>
          <w:szCs w:val="22"/>
        </w:rPr>
        <w:t>Veřejným prostranstvím se pro účely těchto Pravidel rozumí veřejné prostranství definované v § 34 zákona č. 128/2000 Sb. o obcích (obecní řízení), ve znění pozdějších právních předpisů</w:t>
      </w:r>
      <w:r w:rsidRPr="00B73A9E">
        <w:rPr>
          <w:color w:val="FF0000"/>
          <w:sz w:val="22"/>
          <w:szCs w:val="22"/>
        </w:rPr>
        <w:t>.</w:t>
      </w:r>
    </w:p>
    <w:p w:rsidR="00EC429B" w:rsidRPr="00EC429B" w:rsidRDefault="00EC429B" w:rsidP="00B73A9E">
      <w:pPr>
        <w:pStyle w:val="Default"/>
        <w:rPr>
          <w:color w:val="auto"/>
          <w:sz w:val="22"/>
          <w:szCs w:val="22"/>
        </w:rPr>
      </w:pPr>
    </w:p>
    <w:p w:rsidR="00B73A9E" w:rsidRPr="00B73A9E" w:rsidRDefault="00B73A9E" w:rsidP="00B73A9E">
      <w:pPr>
        <w:pStyle w:val="Default"/>
        <w:rPr>
          <w:color w:val="FF0000"/>
          <w:sz w:val="22"/>
          <w:szCs w:val="22"/>
        </w:rPr>
      </w:pP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B73A9E">
        <w:rPr>
          <w:b/>
          <w:bCs/>
          <w:sz w:val="22"/>
          <w:szCs w:val="22"/>
        </w:rPr>
        <w:t xml:space="preserve"> Definice žadatele/příjemce dotace </w:t>
      </w:r>
    </w:p>
    <w:p w:rsidR="00B73A9E" w:rsidRPr="00A87172" w:rsidRDefault="00B73A9E" w:rsidP="00B73A9E">
      <w:pPr>
        <w:pStyle w:val="Default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Obec nebo svazek obcí. </w:t>
      </w: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B73A9E">
        <w:rPr>
          <w:b/>
          <w:bCs/>
          <w:sz w:val="22"/>
          <w:szCs w:val="22"/>
        </w:rPr>
        <w:t xml:space="preserve"> Druh a výše dotace, režim podpory </w:t>
      </w:r>
    </w:p>
    <w:p w:rsidR="00B73A9E" w:rsidRDefault="00B73A9E" w:rsidP="00B73A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výši </w:t>
      </w:r>
      <w:r w:rsidRPr="00B73A9E">
        <w:rPr>
          <w:color w:val="FF0000"/>
          <w:sz w:val="22"/>
          <w:szCs w:val="22"/>
        </w:rPr>
        <w:t>80 %</w:t>
      </w:r>
      <w:r>
        <w:rPr>
          <w:sz w:val="22"/>
          <w:szCs w:val="22"/>
        </w:rPr>
        <w:t xml:space="preserve"> výdajů, ze kterých je stanovena dotace. Podpora je poskytována v režimu nezakládajícím veřejnou podporu. </w:t>
      </w: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B73A9E">
        <w:rPr>
          <w:b/>
          <w:bCs/>
          <w:sz w:val="22"/>
          <w:szCs w:val="22"/>
        </w:rPr>
        <w:t xml:space="preserve"> Způsobilé výdaje </w:t>
      </w:r>
    </w:p>
    <w:p w:rsidR="00B73A9E" w:rsidRPr="00A87172" w:rsidRDefault="00B73A9E" w:rsidP="00B73A9E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Dotaci lze poskytnout na </w:t>
      </w:r>
      <w:r w:rsidRPr="00A87172">
        <w:rPr>
          <w:color w:val="auto"/>
          <w:sz w:val="22"/>
          <w:szCs w:val="22"/>
          <w:u w:val="single"/>
        </w:rPr>
        <w:t>následující investiční výdaje</w:t>
      </w:r>
      <w:r w:rsidRPr="00A87172">
        <w:rPr>
          <w:color w:val="auto"/>
          <w:sz w:val="22"/>
          <w:szCs w:val="22"/>
        </w:rPr>
        <w:t xml:space="preserve">, nebo na drobný </w:t>
      </w:r>
      <w:r w:rsidRPr="00A87172">
        <w:rPr>
          <w:color w:val="auto"/>
          <w:sz w:val="22"/>
          <w:szCs w:val="22"/>
          <w:u w:val="single"/>
        </w:rPr>
        <w:t>dlouhodobý hmotný majetek</w:t>
      </w:r>
      <w:r w:rsidRPr="00A87172">
        <w:rPr>
          <w:color w:val="auto"/>
          <w:sz w:val="22"/>
          <w:szCs w:val="22"/>
        </w:rPr>
        <w:t xml:space="preserve">: </w:t>
      </w:r>
    </w:p>
    <w:p w:rsidR="00B73A9E" w:rsidRPr="00A87172" w:rsidRDefault="00B73A9E" w:rsidP="00B73A9E">
      <w:pPr>
        <w:pStyle w:val="Default"/>
        <w:spacing w:after="17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vytváření/rekonstrukce veřejných prostranství obce zejména úprava povrchů (včetně zatravnění), osvětlení, oplocení a venkovní mobiliář (lavičky, venkovní stoly, odpadkové koše, veřejné WC, psí záchody, stojany na kola, zábradlí, úřední desky, informační panely, orientační mapy, plakátovací plochy, rozcestníky, pomníky), </w:t>
      </w:r>
    </w:p>
    <w:p w:rsidR="00B73A9E" w:rsidRPr="00A87172" w:rsidRDefault="00B73A9E" w:rsidP="00B73A9E">
      <w:pPr>
        <w:pStyle w:val="Default"/>
        <w:spacing w:after="17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vytváření/doplnění solitérních prvků sloužících k dotvoření celkového charakteru veřejného prostranství - herní a vodní prvky (kašny, fontány, pítka a ptačí napajedla či koupadla) </w:t>
      </w:r>
    </w:p>
    <w:p w:rsidR="00B73A9E" w:rsidRPr="00A87172" w:rsidRDefault="00B73A9E" w:rsidP="00B73A9E">
      <w:pPr>
        <w:pStyle w:val="Default"/>
        <w:spacing w:after="17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doplňující výdaje jako součást projektu (parkoviště, odstavné a manipulační plochy) - tvoří maximálně 30% projektu </w:t>
      </w:r>
    </w:p>
    <w:p w:rsidR="00B73A9E" w:rsidRPr="00A87172" w:rsidRDefault="00B73A9E" w:rsidP="00B73A9E">
      <w:pPr>
        <w:pStyle w:val="Default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nákup nemovitosti </w:t>
      </w:r>
    </w:p>
    <w:p w:rsidR="00B73A9E" w:rsidRDefault="00B73A9E" w:rsidP="00B73A9E">
      <w:pPr>
        <w:pStyle w:val="Default"/>
        <w:rPr>
          <w:sz w:val="22"/>
          <w:szCs w:val="22"/>
        </w:rPr>
      </w:pP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bCs/>
          <w:color w:val="000000"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795E">
        <w:rPr>
          <w:rFonts w:ascii="Arial" w:hAnsi="Arial" w:cs="Arial"/>
          <w:b/>
          <w:bCs/>
          <w:color w:val="000000"/>
        </w:rPr>
        <w:t xml:space="preserve">Kritéria přijatelnosti </w:t>
      </w:r>
    </w:p>
    <w:p w:rsidR="0088795E" w:rsidRPr="0088795E" w:rsidRDefault="0088795E" w:rsidP="0088795E">
      <w:pPr>
        <w:autoSpaceDE w:val="0"/>
        <w:autoSpaceDN w:val="0"/>
        <w:adjustRightInd w:val="0"/>
        <w:spacing w:after="14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 xml:space="preserve">1) Výdaje jsou způsobilé pro podporu, jsou-li příslušné projekty prováděny </w:t>
      </w:r>
      <w:r w:rsidRPr="0088795E">
        <w:rPr>
          <w:rFonts w:ascii="Arial" w:hAnsi="Arial" w:cs="Arial"/>
          <w:u w:val="single"/>
        </w:rPr>
        <w:t>v souladu s plány rozvoje obcí a vesnic</w:t>
      </w:r>
      <w:r w:rsidRPr="0088795E">
        <w:rPr>
          <w:rFonts w:ascii="Arial" w:hAnsi="Arial" w:cs="Arial"/>
        </w:rPr>
        <w:t xml:space="preserve"> ve venkovských oblastech a jejich základních služeb a jsou-li </w:t>
      </w:r>
      <w:r w:rsidRPr="0088795E">
        <w:rPr>
          <w:rFonts w:ascii="Arial" w:hAnsi="Arial" w:cs="Arial"/>
          <w:u w:val="single"/>
        </w:rPr>
        <w:t>v souladu s příslušnou strategií místního rozvoje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2) Veřejné prostranství musí bý</w:t>
      </w:r>
      <w:r>
        <w:rPr>
          <w:rFonts w:ascii="Arial" w:hAnsi="Arial" w:cs="Arial"/>
        </w:rPr>
        <w:t xml:space="preserve">t součástí </w:t>
      </w:r>
      <w:proofErr w:type="spellStart"/>
      <w:r>
        <w:rPr>
          <w:rFonts w:ascii="Arial" w:hAnsi="Arial" w:cs="Arial"/>
        </w:rPr>
        <w:t>intravilánu</w:t>
      </w:r>
      <w:proofErr w:type="spellEnd"/>
      <w:r>
        <w:rPr>
          <w:rFonts w:ascii="Arial" w:hAnsi="Arial" w:cs="Arial"/>
        </w:rPr>
        <w:t xml:space="preserve"> obce</w:t>
      </w: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524F48" w:rsidRPr="0088795E" w:rsidRDefault="00524F48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bookmarkStart w:id="0" w:name="_GoBack"/>
      <w:bookmarkEnd w:id="0"/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Times New Roman" w:hAnsi="Times New Roman" w:cs="Times New Roman"/>
        </w:rPr>
      </w:pPr>
      <w:r w:rsidRPr="0088795E">
        <w:rPr>
          <w:rFonts w:ascii="Arial" w:hAnsi="Arial" w:cs="Arial"/>
          <w:b/>
          <w:bCs/>
        </w:rPr>
        <w:t xml:space="preserve">Další podmínky </w:t>
      </w: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1) Projekt nesmí zakládat veřejnou podporu dle čl. 107 odst. 1 SFEU (v</w:t>
      </w:r>
      <w:r>
        <w:rPr>
          <w:rFonts w:ascii="Arial" w:hAnsi="Arial" w:cs="Arial"/>
        </w:rPr>
        <w:t>iz kapitola 1, písmeno mm))</w:t>
      </w: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2) Předmět dotace musí být budován, případně pořízen ve veřejném zájmu, musí být veřejně přístupný a v rámci lhůty vázanosti projektu na účel nesmí b</w:t>
      </w:r>
      <w:r>
        <w:rPr>
          <w:rFonts w:ascii="Arial" w:hAnsi="Arial" w:cs="Arial"/>
        </w:rPr>
        <w:t>ýt jeho užívání zpoplatněno</w:t>
      </w: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Arial" w:hAnsi="Arial" w:cs="Arial"/>
          <w:u w:val="single"/>
        </w:rPr>
      </w:pPr>
      <w:r w:rsidRPr="0088795E">
        <w:rPr>
          <w:rFonts w:ascii="Arial" w:hAnsi="Arial" w:cs="Arial"/>
        </w:rPr>
        <w:t xml:space="preserve">3) </w:t>
      </w:r>
      <w:r w:rsidRPr="0088795E">
        <w:rPr>
          <w:rFonts w:ascii="Arial" w:hAnsi="Arial" w:cs="Arial"/>
          <w:u w:val="single"/>
        </w:rPr>
        <w:t>Nezpůsobilými výdaji jsou nástupiště zastávek veřejné dopravy, nákup/výsadba a ošetřování dřevin a nová výstavba pomníků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 xml:space="preserve">4) Přípustné způsoby uspořádání právních vztahů k nemovitostem, na kterých jsou realizovány stavební výdaje, jsou: vlastnictví, spoluvlastnictví s min. 50% spoluvlastnickým podílem, věcné břemeno a právo stavby. </w:t>
      </w: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88795E">
        <w:rPr>
          <w:rFonts w:ascii="Arial" w:hAnsi="Arial" w:cs="Arial"/>
          <w:b/>
          <w:bCs/>
        </w:rPr>
        <w:t xml:space="preserve">Seznam předkládaných příloh 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  <w:i/>
          <w:iCs/>
        </w:rPr>
        <w:t xml:space="preserve">Přílohy předkládané při podání Žádosti o dotaci na </w:t>
      </w:r>
      <w:proofErr w:type="gramStart"/>
      <w:r w:rsidRPr="0088795E">
        <w:rPr>
          <w:rFonts w:ascii="Arial" w:hAnsi="Arial" w:cs="Arial"/>
          <w:i/>
          <w:iCs/>
        </w:rPr>
        <w:t>MAS</w:t>
      </w:r>
      <w:proofErr w:type="gramEnd"/>
      <w:r w:rsidRPr="0088795E">
        <w:rPr>
          <w:rFonts w:ascii="Arial" w:hAnsi="Arial" w:cs="Arial"/>
          <w:i/>
          <w:iCs/>
        </w:rPr>
        <w:t xml:space="preserve">: 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1) Prohlášení o realizaci projektu v souladu s plánem/programem rozvoje obce (strategického rozvojového dokument</w:t>
      </w:r>
      <w:r>
        <w:rPr>
          <w:rFonts w:ascii="Arial" w:hAnsi="Arial" w:cs="Arial"/>
        </w:rPr>
        <w:t>u) (viz Příloha 21)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sectPr w:rsidR="0088795E" w:rsidRPr="0088795E" w:rsidSect="00F37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9E"/>
    <w:rsid w:val="004039EB"/>
    <w:rsid w:val="00524F48"/>
    <w:rsid w:val="0088795E"/>
    <w:rsid w:val="00A87172"/>
    <w:rsid w:val="00B73A9E"/>
    <w:rsid w:val="00E15C8C"/>
    <w:rsid w:val="00EC429B"/>
    <w:rsid w:val="00F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A605"/>
  <w15:chartTrackingRefBased/>
  <w15:docId w15:val="{FA403523-6BF1-4B9B-97B3-3DEA3F2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3A9E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5</cp:revision>
  <dcterms:created xsi:type="dcterms:W3CDTF">2019-10-17T12:04:00Z</dcterms:created>
  <dcterms:modified xsi:type="dcterms:W3CDTF">2019-10-18T09:42:00Z</dcterms:modified>
</cp:coreProperties>
</file>