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E5" w:rsidRDefault="007A7FE5" w:rsidP="007A7FE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20 Základní služby a obnova vesnic ve venkovských oblastech </w:t>
      </w:r>
    </w:p>
    <w:p w:rsidR="007A7FE5" w:rsidRDefault="007A7FE5" w:rsidP="007A7FE5">
      <w:pPr>
        <w:pStyle w:val="Default"/>
        <w:rPr>
          <w:b/>
          <w:bCs/>
          <w:sz w:val="23"/>
          <w:szCs w:val="23"/>
        </w:rPr>
      </w:pPr>
    </w:p>
    <w:p w:rsidR="007A7FE5" w:rsidRPr="007A7FE5" w:rsidRDefault="007A7FE5" w:rsidP="007A7FE5">
      <w:pPr>
        <w:pStyle w:val="Default"/>
        <w:rPr>
          <w:color w:val="FF0000"/>
          <w:sz w:val="28"/>
          <w:szCs w:val="28"/>
        </w:rPr>
      </w:pPr>
      <w:r w:rsidRPr="007A7FE5">
        <w:rPr>
          <w:b/>
          <w:bCs/>
          <w:color w:val="FF0000"/>
          <w:sz w:val="28"/>
          <w:szCs w:val="28"/>
        </w:rPr>
        <w:t xml:space="preserve">b) Mateřské a základní školy </w:t>
      </w: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>
        <w:rPr>
          <w:b/>
          <w:bCs/>
          <w:sz w:val="22"/>
          <w:szCs w:val="22"/>
        </w:rPr>
        <w:t xml:space="preserve"> Oblasti podpory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zahrnuje investice do mateřských a základních škol nenavyšující kapacitu zařízení. </w:t>
      </w: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>
        <w:rPr>
          <w:b/>
          <w:bCs/>
          <w:sz w:val="22"/>
          <w:szCs w:val="22"/>
        </w:rPr>
        <w:t xml:space="preserve"> Definice žadatele/příjemce dotace </w:t>
      </w:r>
    </w:p>
    <w:p w:rsidR="007A7FE5" w:rsidRDefault="007A7FE5" w:rsidP="007A7FE5">
      <w:pPr>
        <w:pStyle w:val="Default"/>
        <w:rPr>
          <w:sz w:val="22"/>
          <w:szCs w:val="22"/>
        </w:rPr>
      </w:pPr>
      <w:r w:rsidRPr="007A7FE5">
        <w:rPr>
          <w:sz w:val="22"/>
          <w:szCs w:val="22"/>
          <w:u w:val="single"/>
        </w:rPr>
        <w:t>Obec nebo svazek obcí, příspěvková organizace zřízená obcí nebo svazkem obcí, dále školské právnické osoby vykonávající činnost škol a zapsané ve školském rejstříku, které nejsou zřízeny krajem či organizační složkou státu</w:t>
      </w:r>
      <w:r>
        <w:rPr>
          <w:sz w:val="22"/>
          <w:szCs w:val="22"/>
        </w:rPr>
        <w:t xml:space="preserve">. </w:t>
      </w: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>
        <w:rPr>
          <w:b/>
          <w:bCs/>
          <w:sz w:val="22"/>
          <w:szCs w:val="22"/>
        </w:rPr>
        <w:t xml:space="preserve"> Druh a výše dotace, režim podpory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výši </w:t>
      </w:r>
      <w:r w:rsidRPr="007A7FE5">
        <w:rPr>
          <w:color w:val="auto"/>
          <w:sz w:val="22"/>
          <w:szCs w:val="22"/>
          <w:u w:val="single"/>
        </w:rPr>
        <w:t>80 % výdajů</w:t>
      </w:r>
      <w:r>
        <w:rPr>
          <w:sz w:val="22"/>
          <w:szCs w:val="22"/>
        </w:rPr>
        <w:t xml:space="preserve">, ze kterých je stanovena dotace. </w:t>
      </w:r>
    </w:p>
    <w:p w:rsidR="007A7FE5" w:rsidRDefault="007A7FE5" w:rsidP="007A7FE5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Podpora je poskytována ve dvou režimech dle typu projektu, resp. výběru </w:t>
      </w:r>
      <w:proofErr w:type="gramStart"/>
      <w:r>
        <w:rPr>
          <w:sz w:val="22"/>
          <w:szCs w:val="22"/>
        </w:rPr>
        <w:t>žadatele</w:t>
      </w:r>
      <w:r>
        <w:rPr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sz w:val="18"/>
          <w:szCs w:val="18"/>
        </w:rPr>
        <w:t>v</w:t>
      </w:r>
      <w:r>
        <w:rPr>
          <w:sz w:val="18"/>
          <w:szCs w:val="18"/>
        </w:rPr>
        <w:t xml:space="preserve"> případě</w:t>
      </w:r>
      <w:proofErr w:type="gramEnd"/>
      <w:r>
        <w:rPr>
          <w:sz w:val="18"/>
          <w:szCs w:val="18"/>
        </w:rPr>
        <w:t xml:space="preserve">, že žadatel neplní podmínky stanovené pro režim nezakládající veřejnou podporu, musí zvolit režim </w:t>
      </w:r>
      <w:r>
        <w:rPr>
          <w:i/>
          <w:iCs/>
          <w:sz w:val="18"/>
          <w:szCs w:val="18"/>
        </w:rPr>
        <w:t xml:space="preserve">de </w:t>
      </w:r>
      <w:proofErr w:type="spellStart"/>
      <w:r>
        <w:rPr>
          <w:i/>
          <w:iCs/>
          <w:sz w:val="18"/>
          <w:szCs w:val="18"/>
        </w:rPr>
        <w:t>minimis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7A7FE5" w:rsidRDefault="007A7FE5" w:rsidP="007A7FE5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1) Režim nezakládající veřejnou podporu </w:t>
      </w:r>
    </w:p>
    <w:p w:rsidR="007A7FE5" w:rsidRDefault="007A7FE5" w:rsidP="007A7FE5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2) Režim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projekty musí být v souladu s Nařízením Komise (EU) č. 1407/2013 ze dne 18. prosince 2013 o použití článků 107 a 108 Smlouvy o fungování Evropské unie na podporu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(</w:t>
      </w:r>
      <w:r>
        <w:rPr>
          <w:sz w:val="18"/>
          <w:szCs w:val="18"/>
        </w:rPr>
        <w:t xml:space="preserve">V případě podpory poskytnuté v režimu </w:t>
      </w:r>
      <w:r>
        <w:rPr>
          <w:i/>
          <w:iCs/>
          <w:sz w:val="18"/>
          <w:szCs w:val="18"/>
        </w:rPr>
        <w:t xml:space="preserve">de </w:t>
      </w:r>
      <w:proofErr w:type="spellStart"/>
      <w:r>
        <w:rPr>
          <w:i/>
          <w:iCs/>
          <w:sz w:val="18"/>
          <w:szCs w:val="18"/>
        </w:rPr>
        <w:t>minimis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budou do 5 pracovních dní od poskytnutí podpory </w:t>
      </w:r>
      <w:r>
        <w:rPr>
          <w:i/>
          <w:iCs/>
          <w:sz w:val="18"/>
          <w:szCs w:val="18"/>
        </w:rPr>
        <w:t xml:space="preserve">de </w:t>
      </w:r>
      <w:proofErr w:type="spellStart"/>
      <w:r>
        <w:rPr>
          <w:i/>
          <w:iCs/>
          <w:sz w:val="18"/>
          <w:szCs w:val="18"/>
        </w:rPr>
        <w:t>minimis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poskytovatelem zaznamenány údaje o této podpoře a o jejím příjemci do centrálního</w:t>
      </w:r>
      <w:r>
        <w:rPr>
          <w:sz w:val="18"/>
          <w:szCs w:val="18"/>
        </w:rPr>
        <w:t xml:space="preserve"> registru podpor malého rozsahu)</w:t>
      </w:r>
      <w:r>
        <w:rPr>
          <w:i/>
          <w:iCs/>
          <w:sz w:val="14"/>
          <w:szCs w:val="14"/>
        </w:rPr>
        <w:t xml:space="preserve"> </w:t>
      </w:r>
    </w:p>
    <w:p w:rsidR="007A7FE5" w:rsidRDefault="007A7FE5" w:rsidP="007A7FE5">
      <w:pPr>
        <w:pStyle w:val="Default"/>
        <w:rPr>
          <w:sz w:val="14"/>
          <w:szCs w:val="14"/>
        </w:rPr>
      </w:pPr>
    </w:p>
    <w:p w:rsidR="007A7FE5" w:rsidRDefault="007A7FE5" w:rsidP="007A7FE5">
      <w:pPr>
        <w:pStyle w:val="Default"/>
        <w:rPr>
          <w:b/>
          <w:bCs/>
          <w:sz w:val="22"/>
          <w:szCs w:val="22"/>
        </w:rPr>
      </w:pP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>
        <w:rPr>
          <w:b/>
          <w:bCs/>
          <w:sz w:val="22"/>
          <w:szCs w:val="22"/>
        </w:rPr>
        <w:t xml:space="preserve">Způsobilé výdaje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Dotaci lze poskytnout na následující investiční výdaje, jak jsou definovány v kapitole 1 obecných podmínek Pravidel, nebo na drobný dlouhodobý hmotný majetek: </w:t>
      </w:r>
    </w:p>
    <w:p w:rsidR="007A7FE5" w:rsidRDefault="007A7FE5" w:rsidP="007A7FE5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 w:rsidRPr="007A7FE5">
        <w:rPr>
          <w:sz w:val="22"/>
          <w:szCs w:val="22"/>
          <w:u w:val="single"/>
        </w:rPr>
        <w:t>rekonstrukce/rozšíření mateřské/základní školy i jejího zázemí a doprovodného stravovacího a hygienického zařízení; venkovní mobiliář a herní prvky v případě mateřské školy</w:t>
      </w:r>
      <w:r>
        <w:rPr>
          <w:sz w:val="22"/>
          <w:szCs w:val="22"/>
        </w:rPr>
        <w:t xml:space="preserve"> </w:t>
      </w:r>
    </w:p>
    <w:p w:rsidR="007A7FE5" w:rsidRDefault="007A7FE5" w:rsidP="007A7FE5">
      <w:pPr>
        <w:pStyle w:val="Default"/>
        <w:spacing w:after="17"/>
        <w:rPr>
          <w:sz w:val="14"/>
          <w:szCs w:val="14"/>
        </w:rPr>
      </w:pPr>
      <w:r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 w:rsidRPr="007A7FE5">
        <w:rPr>
          <w:sz w:val="22"/>
          <w:szCs w:val="22"/>
          <w:u w:val="single"/>
        </w:rPr>
        <w:t>pořízení technologií a dalšího vybavení mateřské/základní školy či doprovodného stravovacího zařízení</w:t>
      </w: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V případě školních knihoven se dotace nevztahuje na n</w:t>
      </w:r>
      <w:r>
        <w:rPr>
          <w:sz w:val="18"/>
          <w:szCs w:val="18"/>
        </w:rPr>
        <w:t>ákup knih a obdobného vybavení.)</w:t>
      </w:r>
      <w:r>
        <w:rPr>
          <w:sz w:val="14"/>
          <w:szCs w:val="14"/>
        </w:rPr>
        <w:t xml:space="preserve"> </w:t>
      </w:r>
    </w:p>
    <w:p w:rsidR="007A7FE5" w:rsidRDefault="007A7FE5" w:rsidP="007A7FE5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 w:rsidRPr="007A7FE5">
        <w:rPr>
          <w:sz w:val="22"/>
          <w:szCs w:val="22"/>
          <w:u w:val="single"/>
        </w:rPr>
        <w:t>doplňující výdaje jako součást projektu</w:t>
      </w:r>
      <w:r>
        <w:rPr>
          <w:sz w:val="22"/>
          <w:szCs w:val="22"/>
        </w:rPr>
        <w:t xml:space="preserve"> (úprava povrchů, výstavba odstavných ploch a parkovacích stání, výstavba přístupové cesty v areálu školy, oplocení; venkovní mobiliář a herní prvky v případě základní školy) - tvoří </w:t>
      </w:r>
      <w:r w:rsidRPr="007A7FE5">
        <w:rPr>
          <w:sz w:val="22"/>
          <w:szCs w:val="22"/>
          <w:u w:val="single"/>
        </w:rPr>
        <w:t>maximálně 30% projektu</w:t>
      </w:r>
      <w:r>
        <w:rPr>
          <w:sz w:val="22"/>
          <w:szCs w:val="22"/>
        </w:rPr>
        <w:t xml:space="preserve">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&gt; </w:t>
      </w:r>
      <w:r w:rsidRPr="007A7FE5">
        <w:rPr>
          <w:sz w:val="22"/>
          <w:szCs w:val="22"/>
          <w:u w:val="single"/>
        </w:rPr>
        <w:t>nákup nemovitosti</w:t>
      </w:r>
      <w:r>
        <w:rPr>
          <w:sz w:val="22"/>
          <w:szCs w:val="22"/>
        </w:rPr>
        <w:t xml:space="preserve"> </w:t>
      </w:r>
    </w:p>
    <w:p w:rsidR="007A7FE5" w:rsidRDefault="007A7FE5" w:rsidP="007A7FE5">
      <w:pPr>
        <w:pStyle w:val="Default"/>
        <w:rPr>
          <w:sz w:val="22"/>
          <w:szCs w:val="22"/>
        </w:rPr>
      </w:pPr>
    </w:p>
    <w:p w:rsidR="00EB737E" w:rsidRDefault="00EB737E" w:rsidP="007A7FE5">
      <w:pPr>
        <w:pStyle w:val="Default"/>
        <w:spacing w:after="10"/>
      </w:pPr>
    </w:p>
    <w:p w:rsidR="007A7FE5" w:rsidRDefault="00EB737E" w:rsidP="007A7FE5">
      <w:pPr>
        <w:pStyle w:val="Default"/>
        <w:spacing w:after="10"/>
        <w:rPr>
          <w:sz w:val="22"/>
          <w:szCs w:val="22"/>
        </w:rPr>
      </w:pPr>
      <w:r>
        <w:t>&gt;&gt;</w:t>
      </w:r>
      <w:r w:rsidR="007A7FE5">
        <w:rPr>
          <w:b/>
          <w:bCs/>
          <w:sz w:val="22"/>
          <w:szCs w:val="22"/>
        </w:rPr>
        <w:t xml:space="preserve"> Kritéria přijatelnosti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1) Výdaje jsou způsobilé pro podporu, jsou-li příslušné projekty prováděny podle </w:t>
      </w:r>
      <w:r w:rsidRPr="00EB737E">
        <w:rPr>
          <w:sz w:val="22"/>
          <w:szCs w:val="22"/>
          <w:u w:val="single"/>
        </w:rPr>
        <w:t>plánů rozvoje obcí a vesnic ve venkovských oblastech</w:t>
      </w:r>
      <w:r>
        <w:rPr>
          <w:sz w:val="22"/>
          <w:szCs w:val="22"/>
        </w:rPr>
        <w:t xml:space="preserve"> a jejich základních služeb a jsou-li v </w:t>
      </w:r>
      <w:r w:rsidRPr="00EB737E">
        <w:rPr>
          <w:sz w:val="22"/>
          <w:szCs w:val="22"/>
          <w:u w:val="single"/>
        </w:rPr>
        <w:t>souladu s příslušnou strategií místního rozvoje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>2) V době realizace projektu nedochází k navýšení kapacity mateřské či základní školy uvedené ve školském rejstříku (podmínka platí od podání Žádosti o dotaci na MAS do podání Ž</w:t>
      </w:r>
      <w:r w:rsidR="00EB737E">
        <w:rPr>
          <w:sz w:val="22"/>
          <w:szCs w:val="22"/>
        </w:rPr>
        <w:t xml:space="preserve">ádosti o platbu na </w:t>
      </w:r>
      <w:proofErr w:type="gramStart"/>
      <w:r w:rsidR="00EB737E">
        <w:rPr>
          <w:sz w:val="22"/>
          <w:szCs w:val="22"/>
        </w:rPr>
        <w:t>MAS</w:t>
      </w:r>
      <w:proofErr w:type="gramEnd"/>
      <w:r w:rsidR="00EB737E">
        <w:rPr>
          <w:sz w:val="22"/>
          <w:szCs w:val="22"/>
        </w:rPr>
        <w:t>)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>3) V rámci projektu týkajícího se základní školy lze podpořit pouze kmenové učebny</w:t>
      </w:r>
      <w:r>
        <w:rPr>
          <w:sz w:val="14"/>
          <w:szCs w:val="14"/>
        </w:rPr>
        <w:t>80</w:t>
      </w:r>
      <w:r>
        <w:rPr>
          <w:sz w:val="22"/>
          <w:szCs w:val="22"/>
        </w:rPr>
        <w:t>, dále sborovny, kabinety nesloužící pro odborné předměty, školní knihovny, technické místnosti, družiny a jídelny, k vyjmenovaným prostorám lze podpořit i související zázemí a související úpravy budovy š</w:t>
      </w:r>
      <w:r w:rsidR="00EB737E">
        <w:rPr>
          <w:sz w:val="22"/>
          <w:szCs w:val="22"/>
        </w:rPr>
        <w:t>koly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4) Nebudou podporovány aktivity ve školách zřízených dle §16 odst. 9 zákona č. 561/2004 Sb., o předškolním, základním, středním, vyšším odborném a jiném vzdělávání (školský zákon), ve znění pozdějších předpisů, a ve školách zřízených při zařízeních pro výkon ústavní a ochranné výchovy, C.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V případě, že mateřská/základní škola není zřízena obcí nebo svazkem obcí, případně příspěvkovou organizací těchto subjektů, je podpora poskytována pouze v režimu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C.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12"/>
          <w:szCs w:val="12"/>
        </w:rPr>
        <w:t xml:space="preserve">80 V kmenové učebně je umístěná trvale některá ze tříd a učebna nese označení třídy. V kmenových učebnách probíhá výuka různých předmětů bez rozdílu zaměření. Kmenové učebny určují kapacitu školy.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h) Další podmínky společné pro oba režimy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1) Přípustné způsoby uspořádání právních vztahů k nemovitostem, na kterých jsou realizovány stavební výdaje, jsou: vlastnictví, spoluvlastnictví s min. 50% spoluvlastnickým podílem, věcné břemeno a právo stavby.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Přípustné způsoby uspořádání právních vztahů k nemovitostem, do kterých budou umístěny podpořené technologie nebo vybavení, jsou: vlastnictví, spoluvlastnictví s min. 50% spoluvlastnickým podílem, nájem, věcné břemeno a právo stavby.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3) Podpora je poskytována mateřské/základní škole zřizované obcemi nebo svazky obcí či dalšími subjekty dle definice žadatele/příjemce dotace v souladu se zákonem č. 561/2004 Sb., o předškolním, základním, středním, vyšším odborném a jiném vzdělávání (školský zákon), ve znění pozdějších předpisů; C.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4) Projekt je v souladu s Místním akčním plánem vzdělávání; D jinak C.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5) Nezpůsobilými výdaji jsou úpravy prostor sloužících pro sportovní aktivity, tj. sportoviště a zařízení pro sport; K.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6) Nezpůsobilými výdaji jsou kotle na uhlí, včetně kombinovaných (uhlí/biomasa), kotle na zemní plyn, tepelná čerpadla, systémy nuceného větrání s rekuperací odpadního tepla a instalace solárně-termických kolektorů; K.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7) Nebudou podporovány projekty, u kterých způsobilé výdaje na stavební a technologické úpravy opláštění budovy přesahují výši 200 000 Kč; D jinak K. </w:t>
      </w:r>
    </w:p>
    <w:p w:rsidR="007A7FE5" w:rsidRDefault="007A7FE5" w:rsidP="007A7FE5">
      <w:pPr>
        <w:pStyle w:val="Default"/>
        <w:rPr>
          <w:sz w:val="22"/>
          <w:szCs w:val="22"/>
        </w:rPr>
      </w:pP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i) Další podmínky platné pro režim nezakládající veřejnou podporu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1) Projekt nesmí zakládat veřejnou podporu dle čl. 107 odst. 1 SFEU (viz kapitola 1, písmeno mm)); C. </w:t>
      </w:r>
    </w:p>
    <w:p w:rsidR="007A7FE5" w:rsidRDefault="007A7FE5" w:rsidP="007A7FE5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2) Předmět dotace musí být budován ve veřejném zájmu; C. </w:t>
      </w:r>
    </w:p>
    <w:p w:rsidR="007A7FE5" w:rsidRDefault="007A7FE5" w:rsidP="007A7F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Podpora je poskytována mateřské/základní škole zejména na její hlavní činnost. Předmět dotace může být využit na vedlejší, hospodářskou činnost, pokud tato činnost nepřesáhne 20 % celkové využívané kapacity podpořené infrastruktury; B. </w:t>
      </w:r>
    </w:p>
    <w:p w:rsidR="00EB737E" w:rsidRDefault="00EB737E" w:rsidP="007A7FE5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V případě, že se předmět dotace týká stravovacího zařízení, musí toto zařízení sloužit pouze pro potřeby mateřské školy/základní školy splňující výše uvedenou podmínku, s tím, že stravování veřejnosti v podpořených objektech není možné; C.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j) Další podmínky platné pro režim de </w:t>
      </w:r>
      <w:proofErr w:type="spellStart"/>
      <w:r>
        <w:rPr>
          <w:b/>
          <w:bCs/>
          <w:sz w:val="22"/>
          <w:szCs w:val="22"/>
        </w:rPr>
        <w:t>minimis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Celková výše podpory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kterou členský stát poskytne jednomu podniku, nesmí za libovolná tři po sobě jdoucí jednoletá účetní období překročit 200 000 EUR.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k) Seznam předkládaných příloh </w:t>
      </w: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Přílohy předkládané při podání Žádosti o dotaci na </w:t>
      </w:r>
      <w:proofErr w:type="gramStart"/>
      <w:r>
        <w:rPr>
          <w:i/>
          <w:iCs/>
          <w:sz w:val="22"/>
          <w:szCs w:val="22"/>
        </w:rPr>
        <w:t>MAS</w:t>
      </w:r>
      <w:proofErr w:type="gramEnd"/>
      <w:r>
        <w:rPr>
          <w:i/>
          <w:iCs/>
          <w:sz w:val="22"/>
          <w:szCs w:val="22"/>
        </w:rPr>
        <w:t xml:space="preserve">: </w:t>
      </w:r>
    </w:p>
    <w:p w:rsidR="00EB737E" w:rsidRDefault="00EB737E" w:rsidP="00EB737E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1) Prohlášení o realizaci projektu v souladu s plánem/programem rozvoje obce (strategického rozvojového dokumentu) (viz Příloha 21); D jinak C. </w:t>
      </w:r>
    </w:p>
    <w:p w:rsidR="00EB737E" w:rsidRDefault="00EB737E" w:rsidP="00EB737E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2) Informativní výpis ze školského rejstříku (nesmí být starší než 30 kalendářních dní před podáním Žádosti o dotaci na </w:t>
      </w:r>
      <w:proofErr w:type="gramStart"/>
      <w:r>
        <w:rPr>
          <w:sz w:val="22"/>
          <w:szCs w:val="22"/>
        </w:rPr>
        <w:t>MAS</w:t>
      </w:r>
      <w:proofErr w:type="gramEnd"/>
      <w:r>
        <w:rPr>
          <w:sz w:val="22"/>
          <w:szCs w:val="22"/>
        </w:rPr>
        <w:t xml:space="preserve">); D jinak C. </w:t>
      </w: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Dokument prokazující soulad s Místním akčním plánem vzdělávání – tabulka projektových záměrů pro PRV jako součást Strategického rámce MAP s vyznačením odpovídajícího projektu – prostá kopie (viz Příloha 22); D jinak C.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Povinné přílohy předkládané při podpisu Dohody: </w:t>
      </w: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V případě, že je podpora poskytována v režimu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vyplněné Čestné prohlášení k </w:t>
      </w:r>
      <w:proofErr w:type="gramStart"/>
      <w:r>
        <w:rPr>
          <w:i/>
          <w:iCs/>
          <w:sz w:val="22"/>
          <w:szCs w:val="22"/>
        </w:rPr>
        <w:t>de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(viz Příloha 17 Pravidel nebo ke stažení na www.eagri.cz/prv nebo www.szif.cz) – originál; C.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Povinné přílohy předkládané při podání Žádosti o platbu na </w:t>
      </w:r>
      <w:proofErr w:type="gramStart"/>
      <w:r>
        <w:rPr>
          <w:i/>
          <w:iCs/>
          <w:sz w:val="22"/>
          <w:szCs w:val="22"/>
        </w:rPr>
        <w:t>MAS</w:t>
      </w:r>
      <w:proofErr w:type="gramEnd"/>
      <w:r>
        <w:rPr>
          <w:i/>
          <w:iCs/>
          <w:sz w:val="22"/>
          <w:szCs w:val="22"/>
        </w:rPr>
        <w:t xml:space="preserve">: </w:t>
      </w: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Informativní výpis ze školského rejstříku (nesmí být starší než 30 kalendářních dní před podáním Žádosti o platbu na </w:t>
      </w:r>
      <w:proofErr w:type="gramStart"/>
      <w:r>
        <w:rPr>
          <w:sz w:val="22"/>
          <w:szCs w:val="22"/>
        </w:rPr>
        <w:t>MAS</w:t>
      </w:r>
      <w:proofErr w:type="gramEnd"/>
      <w:r>
        <w:rPr>
          <w:sz w:val="22"/>
          <w:szCs w:val="22"/>
        </w:rPr>
        <w:t xml:space="preserve">); D jinak C.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l) Indikátory výstupů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92702 Počet podpořených operací (akcí) </w:t>
      </w: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m) Indikátory výsledků </w:t>
      </w:r>
    </w:p>
    <w:p w:rsidR="00EB737E" w:rsidRDefault="00EB737E" w:rsidP="00EB737E">
      <w:pPr>
        <w:pStyle w:val="Default"/>
        <w:rPr>
          <w:sz w:val="22"/>
          <w:szCs w:val="22"/>
        </w:rPr>
      </w:pPr>
    </w:p>
    <w:p w:rsidR="00EB737E" w:rsidRDefault="00EB737E" w:rsidP="00EB7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94800 Pracovní místa vytvořená v rámci podpořených projektů (Leader)</w:t>
      </w:r>
    </w:p>
    <w:p w:rsidR="00E15C8C" w:rsidRDefault="00E15C8C"/>
    <w:sectPr w:rsidR="00E15C8C" w:rsidSect="007A7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E5"/>
    <w:rsid w:val="007A7FE5"/>
    <w:rsid w:val="00C11EE3"/>
    <w:rsid w:val="00E15C8C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FFCF"/>
  <w15:chartTrackingRefBased/>
  <w15:docId w15:val="{7B7F9EA4-9A1B-4DFF-9E10-FCA6638C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7FE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</cp:revision>
  <dcterms:created xsi:type="dcterms:W3CDTF">2019-10-17T12:24:00Z</dcterms:created>
  <dcterms:modified xsi:type="dcterms:W3CDTF">2019-10-17T12:53:00Z</dcterms:modified>
</cp:coreProperties>
</file>