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6B" w:rsidRDefault="00E5486B" w:rsidP="00E5486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Článek 20 Základní služby a obnova vesnic ve venkovských oblastech </w:t>
      </w:r>
    </w:p>
    <w:p w:rsidR="00E5486B" w:rsidRDefault="00E5486B" w:rsidP="00E5486B">
      <w:pPr>
        <w:pStyle w:val="Default"/>
        <w:rPr>
          <w:b/>
          <w:bCs/>
          <w:sz w:val="23"/>
          <w:szCs w:val="23"/>
        </w:rPr>
      </w:pPr>
    </w:p>
    <w:p w:rsidR="00E5486B" w:rsidRPr="00F1680A" w:rsidRDefault="00E5486B" w:rsidP="00E5486B">
      <w:pPr>
        <w:pStyle w:val="Default"/>
        <w:rPr>
          <w:color w:val="FF0000"/>
          <w:sz w:val="23"/>
          <w:szCs w:val="23"/>
        </w:rPr>
      </w:pPr>
      <w:r w:rsidRPr="00F1680A">
        <w:rPr>
          <w:b/>
          <w:bCs/>
          <w:color w:val="FF0000"/>
          <w:sz w:val="23"/>
          <w:szCs w:val="23"/>
        </w:rPr>
        <w:t xml:space="preserve">f) Kulturní a spolková zařízení včetně knihoven </w:t>
      </w:r>
    </w:p>
    <w:p w:rsidR="00E5486B" w:rsidRDefault="00E5486B" w:rsidP="00E5486B">
      <w:pPr>
        <w:pStyle w:val="Default"/>
        <w:rPr>
          <w:b/>
          <w:bCs/>
          <w:sz w:val="22"/>
          <w:szCs w:val="22"/>
        </w:rPr>
      </w:pP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Oblasti podpory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zahrnuje </w:t>
      </w:r>
      <w:r w:rsidRPr="009A5204">
        <w:rPr>
          <w:sz w:val="22"/>
          <w:szCs w:val="22"/>
          <w:u w:val="single"/>
        </w:rPr>
        <w:t>investice do staveb a vybavení pro kulturní a spolkovou činnost</w:t>
      </w:r>
      <w:r>
        <w:rPr>
          <w:sz w:val="22"/>
          <w:szCs w:val="22"/>
        </w:rPr>
        <w:t xml:space="preserve"> (obecní, kulturní, spolkové a víceúčelové domy, společenské, koncertní a divadelní sály, kina, klubovny, sokolovny a orlovny) včetně obecních knihoven. . </w:t>
      </w:r>
    </w:p>
    <w:p w:rsidR="00E5486B" w:rsidRDefault="00E5486B" w:rsidP="00E5486B">
      <w:pPr>
        <w:pStyle w:val="Default"/>
        <w:rPr>
          <w:sz w:val="22"/>
          <w:szCs w:val="22"/>
        </w:rPr>
      </w:pP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</w:t>
      </w:r>
      <w:r>
        <w:rPr>
          <w:b/>
          <w:bCs/>
          <w:sz w:val="22"/>
          <w:szCs w:val="22"/>
        </w:rPr>
        <w:t xml:space="preserve"> Definice žadatele/příjemce dotace </w:t>
      </w:r>
    </w:p>
    <w:p w:rsidR="00E5486B" w:rsidRPr="009A5204" w:rsidRDefault="00E5486B" w:rsidP="00E5486B">
      <w:pPr>
        <w:pStyle w:val="Default"/>
        <w:rPr>
          <w:sz w:val="22"/>
          <w:szCs w:val="22"/>
          <w:u w:val="single"/>
        </w:rPr>
      </w:pPr>
      <w:r w:rsidRPr="009A5204">
        <w:rPr>
          <w:sz w:val="22"/>
          <w:szCs w:val="22"/>
          <w:u w:val="single"/>
        </w:rPr>
        <w:t>Obec nebo svazek obcí, příspěvková organizace zřízená obcí nebo svazkem obcí, nestátní neziskové organizace (spolek, ústav, o.p.s.), registrované církve a náboženské společnosti a evidované (církevní) právnické osoby.</w:t>
      </w:r>
    </w:p>
    <w:p w:rsidR="00E5486B" w:rsidRPr="009A5204" w:rsidRDefault="00E5486B" w:rsidP="00E5486B">
      <w:pPr>
        <w:pStyle w:val="Default"/>
        <w:rPr>
          <w:sz w:val="22"/>
          <w:szCs w:val="22"/>
          <w:u w:val="single"/>
        </w:rPr>
      </w:pPr>
      <w:r w:rsidRPr="009A5204">
        <w:rPr>
          <w:sz w:val="22"/>
          <w:szCs w:val="22"/>
          <w:u w:val="single"/>
        </w:rPr>
        <w:t xml:space="preserve"> </w:t>
      </w:r>
    </w:p>
    <w:p w:rsidR="00E5486B" w:rsidRDefault="00580170" w:rsidP="00E5486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E5486B">
        <w:rPr>
          <w:b/>
          <w:bCs/>
          <w:sz w:val="22"/>
          <w:szCs w:val="22"/>
        </w:rPr>
        <w:t xml:space="preserve">Druh a výše dotace, režim podpory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je poskytována jako příspěvek na vynaložené způsobilé výdaje, a to ve </w:t>
      </w:r>
      <w:r w:rsidRPr="00A2286C">
        <w:rPr>
          <w:sz w:val="22"/>
          <w:szCs w:val="22"/>
          <w:u w:val="single"/>
        </w:rPr>
        <w:t>výši 80 %</w:t>
      </w:r>
      <w:r>
        <w:rPr>
          <w:sz w:val="22"/>
          <w:szCs w:val="22"/>
        </w:rPr>
        <w:t xml:space="preserve"> výdajů, ze kterých je stanovena dotace.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je poskytována v režimu </w:t>
      </w:r>
      <w:r w:rsidRPr="009A5204">
        <w:rPr>
          <w:i/>
          <w:iCs/>
          <w:sz w:val="22"/>
          <w:szCs w:val="22"/>
          <w:u w:val="single"/>
        </w:rPr>
        <w:t xml:space="preserve">de </w:t>
      </w:r>
      <w:proofErr w:type="spellStart"/>
      <w:r w:rsidRPr="009A5204">
        <w:rPr>
          <w:i/>
          <w:iCs/>
          <w:sz w:val="22"/>
          <w:szCs w:val="22"/>
          <w:u w:val="single"/>
        </w:rPr>
        <w:t>minimis</w:t>
      </w:r>
      <w:proofErr w:type="spellEnd"/>
      <w:r>
        <w:rPr>
          <w:sz w:val="22"/>
          <w:szCs w:val="22"/>
        </w:rPr>
        <w:t xml:space="preserve">. </w:t>
      </w:r>
    </w:p>
    <w:p w:rsidR="00E5486B" w:rsidRDefault="00E5486B" w:rsidP="00E5486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5486B" w:rsidRDefault="00F8303A" w:rsidP="00E5486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E5486B">
        <w:rPr>
          <w:b/>
          <w:bCs/>
          <w:sz w:val="22"/>
          <w:szCs w:val="22"/>
        </w:rPr>
        <w:t xml:space="preserve"> Způsobilé výdaje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Dotaci lze poskytnout na následující investiční výdaje, nebo na drobný dlouhodobý hmotný majetek: </w:t>
      </w:r>
    </w:p>
    <w:p w:rsidR="00E5486B" w:rsidRDefault="00E5486B" w:rsidP="00E5486B">
      <w:pPr>
        <w:pStyle w:val="Default"/>
        <w:spacing w:after="14"/>
        <w:rPr>
          <w:sz w:val="13"/>
          <w:szCs w:val="13"/>
        </w:rPr>
      </w:pPr>
      <w:r>
        <w:rPr>
          <w:sz w:val="22"/>
          <w:szCs w:val="22"/>
        </w:rPr>
        <w:t>1) rekonstrukce/obnova</w:t>
      </w:r>
      <w:r w:rsidR="005E4D57">
        <w:rPr>
          <w:sz w:val="22"/>
          <w:szCs w:val="22"/>
        </w:rPr>
        <w:t xml:space="preserve"> (</w:t>
      </w:r>
      <w:r w:rsidR="005E4D57">
        <w:rPr>
          <w:sz w:val="18"/>
          <w:szCs w:val="18"/>
        </w:rPr>
        <w:t xml:space="preserve">v důsledku mimořádné události např. po </w:t>
      </w:r>
      <w:proofErr w:type="gramStart"/>
      <w:r w:rsidR="005E4D57">
        <w:rPr>
          <w:sz w:val="18"/>
          <w:szCs w:val="18"/>
        </w:rPr>
        <w:t>povodni</w:t>
      </w:r>
      <w:r w:rsidR="005E4D57">
        <w:rPr>
          <w:sz w:val="14"/>
          <w:szCs w:val="14"/>
        </w:rPr>
        <w:t xml:space="preserve"> )</w:t>
      </w:r>
      <w:r>
        <w:rPr>
          <w:sz w:val="22"/>
          <w:szCs w:val="22"/>
        </w:rPr>
        <w:t>/</w:t>
      </w:r>
      <w:r w:rsidR="00816AD2">
        <w:rPr>
          <w:sz w:val="22"/>
          <w:szCs w:val="22"/>
        </w:rPr>
        <w:t xml:space="preserve"> </w:t>
      </w:r>
      <w:r>
        <w:rPr>
          <w:sz w:val="22"/>
          <w:szCs w:val="22"/>
        </w:rPr>
        <w:t>rozšíření</w:t>
      </w:r>
      <w:proofErr w:type="gramEnd"/>
      <w:r>
        <w:rPr>
          <w:sz w:val="22"/>
          <w:szCs w:val="22"/>
        </w:rPr>
        <w:t xml:space="preserve"> kulturního a spolkového zařízení i příslušného zázemí (šatny, umývárny, toalety) včetně obecních knihoven</w:t>
      </w:r>
      <w:r w:rsidR="005E4D57">
        <w:rPr>
          <w:rFonts w:ascii="Times New Roman" w:hAnsi="Times New Roman" w:cs="Times New Roman"/>
          <w:sz w:val="13"/>
          <w:szCs w:val="13"/>
        </w:rPr>
        <w:t xml:space="preserve"> (</w:t>
      </w:r>
      <w:r w:rsidR="00816AD2">
        <w:rPr>
          <w:sz w:val="18"/>
          <w:szCs w:val="18"/>
        </w:rPr>
        <w:t>d</w:t>
      </w:r>
      <w:r w:rsidR="005E4D57">
        <w:rPr>
          <w:sz w:val="18"/>
          <w:szCs w:val="18"/>
        </w:rPr>
        <w:t>otace se nevztahuje na nákup knih apod.)</w:t>
      </w:r>
    </w:p>
    <w:p w:rsidR="00E5486B" w:rsidRDefault="00E5486B" w:rsidP="00E5486B">
      <w:pPr>
        <w:pStyle w:val="Default"/>
        <w:spacing w:after="14"/>
        <w:rPr>
          <w:sz w:val="14"/>
          <w:szCs w:val="14"/>
        </w:rPr>
      </w:pPr>
      <w:r>
        <w:rPr>
          <w:sz w:val="22"/>
          <w:szCs w:val="22"/>
        </w:rPr>
        <w:t>2) pořízení technologií a dalšího vybavení pro kulturní a spolkovou činnost včetně obecních knihoven</w:t>
      </w:r>
      <w:r w:rsidR="005E4D57">
        <w:rPr>
          <w:sz w:val="14"/>
          <w:szCs w:val="14"/>
        </w:rPr>
        <w:t>.</w:t>
      </w:r>
    </w:p>
    <w:p w:rsidR="00E5486B" w:rsidRDefault="00E5486B" w:rsidP="00E5486B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3) doplňující výdaje jako součást projektu (úprava povrchů, výstavba odstavných ploch a parkovacích stání, oplocení, venkovní mobiliář, informační tabule, zabezpečovací prvky) - tvoří maximálně 30% projektu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nákup nemovitosti </w:t>
      </w:r>
    </w:p>
    <w:p w:rsidR="00E5486B" w:rsidRDefault="00E5486B" w:rsidP="00E5486B">
      <w:pPr>
        <w:pStyle w:val="Default"/>
      </w:pPr>
    </w:p>
    <w:p w:rsidR="00E5486B" w:rsidRDefault="005E4D57" w:rsidP="00E5486B">
      <w:pPr>
        <w:pStyle w:val="Default"/>
        <w:spacing w:after="11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E5486B">
        <w:rPr>
          <w:b/>
          <w:bCs/>
          <w:sz w:val="22"/>
          <w:szCs w:val="22"/>
        </w:rPr>
        <w:t xml:space="preserve"> Kritéria přijatelnosti </w:t>
      </w:r>
    </w:p>
    <w:p w:rsidR="00E5486B" w:rsidRPr="005E4D57" w:rsidRDefault="00E5486B" w:rsidP="00E5486B">
      <w:pPr>
        <w:pStyle w:val="Default"/>
        <w:spacing w:after="11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1) Výdaje jsou způsobilé pro podporu, jsou-li </w:t>
      </w:r>
      <w:r w:rsidRPr="005E4D57">
        <w:rPr>
          <w:sz w:val="22"/>
          <w:szCs w:val="22"/>
          <w:u w:val="single"/>
        </w:rPr>
        <w:t>příslušné projekty prováděny podle plánů rozvoje obcí a vesnic</w:t>
      </w:r>
      <w:r>
        <w:rPr>
          <w:sz w:val="22"/>
          <w:szCs w:val="22"/>
        </w:rPr>
        <w:t xml:space="preserve"> ve venkovských oblastech a jejich základních služeb a jsou-li </w:t>
      </w:r>
      <w:r w:rsidRPr="005E4D57">
        <w:rPr>
          <w:sz w:val="22"/>
          <w:szCs w:val="22"/>
          <w:u w:val="single"/>
        </w:rPr>
        <w:t>v souladu s příslušnou strategií místní</w:t>
      </w:r>
      <w:r w:rsidR="005E4D57" w:rsidRPr="005E4D57">
        <w:rPr>
          <w:sz w:val="22"/>
          <w:szCs w:val="22"/>
          <w:u w:val="single"/>
        </w:rPr>
        <w:t>ho rozvoje</w:t>
      </w:r>
      <w:r w:rsidRPr="005E4D57">
        <w:rPr>
          <w:sz w:val="22"/>
          <w:szCs w:val="22"/>
          <w:u w:val="single"/>
        </w:rPr>
        <w:t xml:space="preserve">. </w:t>
      </w:r>
    </w:p>
    <w:p w:rsidR="00E5486B" w:rsidRDefault="00E5486B" w:rsidP="00E5486B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 xml:space="preserve">2) V případě knihoven se jedná o knihovny zřízené podle §3 odst. 1 písm. c) zákona č. 257/2001 Sb. o knihovnách a podmínkách provozování veřejných knihovnických a informačních služeb, ve znění pozdějších předpisů.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V případě, že je žadatelem </w:t>
      </w:r>
      <w:r w:rsidRPr="009A5204">
        <w:rPr>
          <w:sz w:val="22"/>
          <w:szCs w:val="22"/>
          <w:u w:val="single"/>
        </w:rPr>
        <w:t xml:space="preserve">nestátní nezisková organizace, musí se jednat o subjekt s historií alespoň dva roky před podáním Žádosti o dotaci na </w:t>
      </w:r>
      <w:proofErr w:type="gramStart"/>
      <w:r w:rsidRPr="009A5204">
        <w:rPr>
          <w:sz w:val="22"/>
          <w:szCs w:val="22"/>
          <w:u w:val="single"/>
        </w:rPr>
        <w:t>MAS</w:t>
      </w:r>
      <w:proofErr w:type="gramEnd"/>
      <w:r>
        <w:rPr>
          <w:sz w:val="22"/>
          <w:szCs w:val="22"/>
        </w:rPr>
        <w:t xml:space="preserve"> v oblasti, která je předmě</w:t>
      </w:r>
      <w:r w:rsidR="00095C01">
        <w:rPr>
          <w:sz w:val="22"/>
          <w:szCs w:val="22"/>
        </w:rPr>
        <w:t>tem dotace</w:t>
      </w:r>
      <w:r>
        <w:rPr>
          <w:sz w:val="22"/>
          <w:szCs w:val="22"/>
        </w:rPr>
        <w:t xml:space="preserve">. </w:t>
      </w:r>
    </w:p>
    <w:p w:rsidR="00E5486B" w:rsidRDefault="00E5486B" w:rsidP="00E5486B">
      <w:pPr>
        <w:pStyle w:val="Default"/>
        <w:rPr>
          <w:sz w:val="22"/>
          <w:szCs w:val="22"/>
        </w:rPr>
      </w:pPr>
    </w:p>
    <w:p w:rsidR="00E5486B" w:rsidRDefault="006C2C17" w:rsidP="00E5486B">
      <w:pPr>
        <w:pStyle w:val="Default"/>
        <w:spacing w:after="13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E5486B">
        <w:rPr>
          <w:b/>
          <w:bCs/>
          <w:sz w:val="22"/>
          <w:szCs w:val="22"/>
        </w:rPr>
        <w:t xml:space="preserve"> Další podmínky </w:t>
      </w:r>
    </w:p>
    <w:p w:rsidR="00E5486B" w:rsidRDefault="00E5486B" w:rsidP="00E5486B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9A5204">
        <w:rPr>
          <w:sz w:val="22"/>
          <w:szCs w:val="22"/>
          <w:u w:val="single"/>
        </w:rPr>
        <w:t>Nezpůsobilými výdaji jsou hřiště a prostory sloužící pro sportovní aktivity, tj. sportoviště a zařízení pro sport</w:t>
      </w:r>
      <w:r w:rsidR="009A5204" w:rsidRPr="009A5204">
        <w:rPr>
          <w:sz w:val="22"/>
          <w:szCs w:val="22"/>
          <w:u w:val="single"/>
        </w:rPr>
        <w:t xml:space="preserve"> včetně jejich zázemí</w:t>
      </w:r>
      <w:r>
        <w:rPr>
          <w:sz w:val="22"/>
          <w:szCs w:val="22"/>
        </w:rPr>
        <w:t xml:space="preserve">. </w:t>
      </w:r>
    </w:p>
    <w:p w:rsidR="00E5486B" w:rsidRDefault="00E5486B" w:rsidP="00E5486B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2) Celková výše podpory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kterou členský stát poskytne jednomu podniku, nesmí za libovolná tři po sobě jdoucí jednoletá účetní období překročit 200 000 EUR. </w:t>
      </w:r>
    </w:p>
    <w:p w:rsidR="00E5486B" w:rsidRDefault="00E5486B" w:rsidP="00E5486B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3) Přípustné způsoby </w:t>
      </w:r>
      <w:r w:rsidRPr="009A5204">
        <w:rPr>
          <w:sz w:val="22"/>
          <w:szCs w:val="22"/>
          <w:u w:val="single"/>
        </w:rPr>
        <w:t>uspořádání právních vztahů k nemovitostem</w:t>
      </w:r>
      <w:r>
        <w:rPr>
          <w:sz w:val="22"/>
          <w:szCs w:val="22"/>
        </w:rPr>
        <w:t xml:space="preserve">, na kterých jsou realizovány stavební výdaje, jsou: vlastnictví, spoluvlastnictví s min. 50% podílem, věcné břemeno a právo stavby. </w:t>
      </w:r>
    </w:p>
    <w:p w:rsidR="00E5486B" w:rsidRDefault="00E5486B" w:rsidP="00E5486B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4) Přípustné způsoby </w:t>
      </w:r>
      <w:r w:rsidRPr="009A5204">
        <w:rPr>
          <w:sz w:val="22"/>
          <w:szCs w:val="22"/>
          <w:u w:val="single"/>
        </w:rPr>
        <w:t>uspořádání právních vztahů k nemovitostem</w:t>
      </w:r>
      <w:r>
        <w:rPr>
          <w:sz w:val="22"/>
          <w:szCs w:val="22"/>
        </w:rPr>
        <w:t xml:space="preserve">, do kterých budou umístěny podpořené technologie nebo vybavení, jsou: vlastnictví, spoluvlastnictví s min. 50% spoluvlastnickým podílem, nájem, věcné břemeno a právo stavby. </w:t>
      </w:r>
    </w:p>
    <w:p w:rsidR="00E5486B" w:rsidRDefault="00E5486B" w:rsidP="00E5486B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5) V případě, že je žadatelem obec nebo svazek obcí, tak provozovatelem spolkové činnosti nemusí být sám žadatel, a to za podmínky, že </w:t>
      </w:r>
      <w:r w:rsidRPr="009A5204">
        <w:rPr>
          <w:sz w:val="22"/>
          <w:szCs w:val="22"/>
          <w:u w:val="single"/>
        </w:rPr>
        <w:t>je předmět dotace využíván pouze k volnočasovým aktivitá</w:t>
      </w:r>
      <w:r w:rsidR="0074215E" w:rsidRPr="009A5204">
        <w:rPr>
          <w:sz w:val="22"/>
          <w:szCs w:val="22"/>
          <w:u w:val="single"/>
        </w:rPr>
        <w:t>m</w:t>
      </w:r>
      <w:r>
        <w:rPr>
          <w:sz w:val="22"/>
          <w:szCs w:val="22"/>
        </w:rPr>
        <w:t xml:space="preserve">. </w:t>
      </w:r>
    </w:p>
    <w:p w:rsidR="00E5486B" w:rsidRDefault="00E5486B" w:rsidP="00E5486B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74215E">
        <w:rPr>
          <w:sz w:val="22"/>
          <w:szCs w:val="22"/>
          <w:u w:val="single"/>
        </w:rPr>
        <w:t>Nezpůsobilými výdaji jsou</w:t>
      </w:r>
      <w:r>
        <w:rPr>
          <w:sz w:val="22"/>
          <w:szCs w:val="22"/>
        </w:rPr>
        <w:t xml:space="preserve"> kotle na uhlí, včetně kombinovaných (uhlí/biomasa), kotle na zemní plyn, tepelná čerpadla, systémy nuceného větrání s rekuperací odpadního tepla a instalace solárně-termických kolektorů; K.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7) Nebudou podporovány projekty, u kterých způsobilé výdaje na stavební a technologické úpravy opláštění budovy přesahují výši 200 000 Kč. </w:t>
      </w:r>
    </w:p>
    <w:p w:rsidR="00E5486B" w:rsidRDefault="00E5486B" w:rsidP="00E5486B">
      <w:pPr>
        <w:pStyle w:val="Default"/>
        <w:rPr>
          <w:sz w:val="22"/>
          <w:szCs w:val="22"/>
        </w:rPr>
      </w:pPr>
    </w:p>
    <w:p w:rsidR="00E5486B" w:rsidRDefault="0074215E" w:rsidP="00E5486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</w:t>
      </w:r>
      <w:r w:rsidR="00E5486B">
        <w:rPr>
          <w:b/>
          <w:bCs/>
          <w:sz w:val="22"/>
          <w:szCs w:val="22"/>
        </w:rPr>
        <w:t xml:space="preserve"> Seznam předkládaných příloh </w:t>
      </w:r>
    </w:p>
    <w:p w:rsidR="00E5486B" w:rsidRPr="001E270A" w:rsidRDefault="00E5486B" w:rsidP="00E5486B">
      <w:pPr>
        <w:pStyle w:val="Default"/>
        <w:rPr>
          <w:sz w:val="22"/>
          <w:szCs w:val="22"/>
          <w:u w:val="single"/>
        </w:rPr>
      </w:pPr>
      <w:r w:rsidRPr="001E270A">
        <w:rPr>
          <w:i/>
          <w:iCs/>
          <w:sz w:val="22"/>
          <w:szCs w:val="22"/>
          <w:u w:val="single"/>
        </w:rPr>
        <w:t xml:space="preserve">Přílohy předkládané při podání Žádosti o dotaci na </w:t>
      </w:r>
      <w:proofErr w:type="gramStart"/>
      <w:r w:rsidRPr="001E270A">
        <w:rPr>
          <w:i/>
          <w:iCs/>
          <w:sz w:val="22"/>
          <w:szCs w:val="22"/>
          <w:u w:val="single"/>
        </w:rPr>
        <w:t>MAS</w:t>
      </w:r>
      <w:proofErr w:type="gramEnd"/>
      <w:r w:rsidRPr="001E270A">
        <w:rPr>
          <w:i/>
          <w:iCs/>
          <w:sz w:val="22"/>
          <w:szCs w:val="22"/>
          <w:u w:val="single"/>
        </w:rPr>
        <w:t xml:space="preserve">: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Prohlášení o realizaci projektu v souladu s plánem/programem rozvoje obce (strategického rozvojového dokumentu) (viz Pří</w:t>
      </w:r>
      <w:r w:rsidR="0074215E">
        <w:rPr>
          <w:sz w:val="22"/>
          <w:szCs w:val="22"/>
        </w:rPr>
        <w:t>loha 21)</w:t>
      </w:r>
      <w:r>
        <w:rPr>
          <w:sz w:val="22"/>
          <w:szCs w:val="22"/>
        </w:rPr>
        <w:t xml:space="preserve">. </w:t>
      </w:r>
    </w:p>
    <w:p w:rsidR="00E5486B" w:rsidRDefault="00E5486B" w:rsidP="00E5486B">
      <w:pPr>
        <w:pStyle w:val="Default"/>
        <w:rPr>
          <w:sz w:val="22"/>
          <w:szCs w:val="22"/>
        </w:rPr>
      </w:pPr>
    </w:p>
    <w:p w:rsidR="00E5486B" w:rsidRPr="001E270A" w:rsidRDefault="00E5486B" w:rsidP="00E5486B">
      <w:pPr>
        <w:pStyle w:val="Default"/>
        <w:rPr>
          <w:sz w:val="22"/>
          <w:szCs w:val="22"/>
          <w:u w:val="single"/>
        </w:rPr>
      </w:pPr>
      <w:r w:rsidRPr="001E270A">
        <w:rPr>
          <w:i/>
          <w:iCs/>
          <w:sz w:val="22"/>
          <w:szCs w:val="22"/>
          <w:u w:val="single"/>
        </w:rPr>
        <w:t>Po</w:t>
      </w:r>
      <w:bookmarkStart w:id="0" w:name="_GoBack"/>
      <w:bookmarkEnd w:id="0"/>
      <w:r w:rsidRPr="001E270A">
        <w:rPr>
          <w:i/>
          <w:iCs/>
          <w:sz w:val="22"/>
          <w:szCs w:val="22"/>
          <w:u w:val="single"/>
        </w:rPr>
        <w:t xml:space="preserve">vinné přílohy předkládané při podpisu Dohody: </w:t>
      </w:r>
    </w:p>
    <w:p w:rsidR="00E5486B" w:rsidRDefault="00E5486B" w:rsidP="00E548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případě, že je podpora poskytována v režimu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vyplněné Čestné prohlášení k </w:t>
      </w:r>
      <w:proofErr w:type="gramStart"/>
      <w:r>
        <w:rPr>
          <w:i/>
          <w:iCs/>
          <w:sz w:val="22"/>
          <w:szCs w:val="22"/>
        </w:rPr>
        <w:t>de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(viz Příloha 17 Pravidel nebo ke stažení na www.eagri.cz/prv nebo www.szif.cz) – originá</w:t>
      </w:r>
      <w:r w:rsidR="0074215E">
        <w:rPr>
          <w:sz w:val="22"/>
          <w:szCs w:val="22"/>
        </w:rPr>
        <w:t>l;</w:t>
      </w:r>
      <w:r>
        <w:rPr>
          <w:sz w:val="22"/>
          <w:szCs w:val="22"/>
        </w:rPr>
        <w:t xml:space="preserve"> </w:t>
      </w:r>
    </w:p>
    <w:p w:rsidR="00E5486B" w:rsidRDefault="00E5486B" w:rsidP="00E5486B">
      <w:pPr>
        <w:pStyle w:val="Default"/>
        <w:rPr>
          <w:sz w:val="22"/>
          <w:szCs w:val="22"/>
        </w:rPr>
      </w:pPr>
    </w:p>
    <w:p w:rsidR="00E5486B" w:rsidRDefault="00E5486B" w:rsidP="00E5486B">
      <w:pPr>
        <w:pStyle w:val="Default"/>
      </w:pPr>
    </w:p>
    <w:sectPr w:rsidR="00E5486B" w:rsidSect="001E270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6B"/>
    <w:rsid w:val="00095C01"/>
    <w:rsid w:val="001E270A"/>
    <w:rsid w:val="00580170"/>
    <w:rsid w:val="005E4D57"/>
    <w:rsid w:val="006C2C17"/>
    <w:rsid w:val="0074215E"/>
    <w:rsid w:val="00816AD2"/>
    <w:rsid w:val="009A5204"/>
    <w:rsid w:val="00A2286C"/>
    <w:rsid w:val="00E15C8C"/>
    <w:rsid w:val="00E5486B"/>
    <w:rsid w:val="00F1680A"/>
    <w:rsid w:val="00F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E6D5"/>
  <w15:chartTrackingRefBased/>
  <w15:docId w15:val="{953F7971-3898-456F-8216-39481853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5486B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2</cp:revision>
  <dcterms:created xsi:type="dcterms:W3CDTF">2019-10-24T10:04:00Z</dcterms:created>
  <dcterms:modified xsi:type="dcterms:W3CDTF">2019-10-24T10:04:00Z</dcterms:modified>
</cp:coreProperties>
</file>